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9A" w:rsidRPr="00FF4ECE" w:rsidRDefault="0057449B" w:rsidP="00994369">
      <w:pPr>
        <w:jc w:val="center"/>
        <w:rPr>
          <w:b/>
        </w:rPr>
      </w:pPr>
      <w:bookmarkStart w:id="0" w:name="_GoBack"/>
      <w:r w:rsidRPr="00FF4ECE">
        <w:rPr>
          <w:b/>
        </w:rPr>
        <w:t>ADDITIONAL PROPERTY TRANSFER TAX</w:t>
      </w:r>
    </w:p>
    <w:bookmarkEnd w:id="0"/>
    <w:p w:rsidR="00215594" w:rsidRDefault="0057449B" w:rsidP="00994369">
      <w:r>
        <w:t xml:space="preserve">The Ministry of Finance has introduced a new Additional Property </w:t>
      </w:r>
      <w:r w:rsidR="005260FB">
        <w:t>Transfer Tax effective August 2</w:t>
      </w:r>
      <w:r w:rsidR="005260FB" w:rsidRPr="005260FB">
        <w:rPr>
          <w:vertAlign w:val="superscript"/>
        </w:rPr>
        <w:t>nd</w:t>
      </w:r>
      <w:r w:rsidR="005260FB">
        <w:t>,</w:t>
      </w:r>
      <w:r>
        <w:t xml:space="preserve"> 2016. </w:t>
      </w:r>
      <w:r w:rsidR="004E5855">
        <w:t xml:space="preserve">This additional tax is payable in addition to the general property tax. </w:t>
      </w:r>
      <w:r>
        <w:t>Along with the tax</w:t>
      </w:r>
      <w:r w:rsidR="004E5855">
        <w:t xml:space="preserve"> that is payable</w:t>
      </w:r>
      <w:r>
        <w:t>, there is also a new Additional Property Transfer Tax Return form that must be completed.</w:t>
      </w:r>
      <w:r w:rsidR="00EE5C73">
        <w:t xml:space="preserve"> Please read the Ministry of Finance </w:t>
      </w:r>
      <w:hyperlink r:id="rId7" w:history="1">
        <w:r w:rsidR="00EE5C73" w:rsidRPr="0057449B">
          <w:rPr>
            <w:rStyle w:val="Hyperlink"/>
          </w:rPr>
          <w:t>Tax Information Sheet 2016-006</w:t>
        </w:r>
      </w:hyperlink>
      <w:r w:rsidR="00EE5C73">
        <w:t xml:space="preserve"> for full details.</w:t>
      </w:r>
    </w:p>
    <w:p w:rsidR="003070CD" w:rsidRDefault="003070CD" w:rsidP="00994369">
      <w:r>
        <w:t>T</w:t>
      </w:r>
      <w:r w:rsidRPr="00F517FD">
        <w:t xml:space="preserve">he </w:t>
      </w:r>
      <w:r>
        <w:t>LTSA in conjunction with the Ministry of Finance have announced that</w:t>
      </w:r>
      <w:r w:rsidRPr="00F517FD">
        <w:t xml:space="preserve"> a new Property Transfer Tax (PTT)</w:t>
      </w:r>
      <w:r>
        <w:t xml:space="preserve"> Form Version 27 will be released on August 2</w:t>
      </w:r>
      <w:r w:rsidRPr="001014A0">
        <w:rPr>
          <w:vertAlign w:val="superscript"/>
        </w:rPr>
        <w:t>nd</w:t>
      </w:r>
      <w:r>
        <w:t>, 2016</w:t>
      </w:r>
      <w:r w:rsidRPr="00F517FD">
        <w:t xml:space="preserve">. </w:t>
      </w:r>
      <w:r>
        <w:t xml:space="preserve">This updated form is due to the introduction of the additional tax. For important information regarding this form, please read the </w:t>
      </w:r>
      <w:hyperlink r:id="rId8" w:history="1">
        <w:r w:rsidRPr="003070CD">
          <w:rPr>
            <w:rStyle w:val="Hyperlink"/>
          </w:rPr>
          <w:t>LTSA announcement</w:t>
        </w:r>
      </w:hyperlink>
      <w:r>
        <w:t xml:space="preserve">. </w:t>
      </w:r>
    </w:p>
    <w:p w:rsidR="00FF4ECE" w:rsidRDefault="00A27ACD" w:rsidP="00994369">
      <w:r>
        <w:t xml:space="preserve">When a transaction requires the collection and remittance of the additional property transfer tax the calculation of this tax must be done manually. </w:t>
      </w:r>
      <w:r w:rsidR="0057449B">
        <w:t>The</w:t>
      </w:r>
      <w:r w:rsidR="00FF4ECE">
        <w:t xml:space="preserve">re are two </w:t>
      </w:r>
      <w:r w:rsidR="0057449B">
        <w:t>w</w:t>
      </w:r>
      <w:r w:rsidR="0010310F">
        <w:t>ays to enter the additional property transfer tax in</w:t>
      </w:r>
      <w:r w:rsidR="0057449B">
        <w:t xml:space="preserve"> </w:t>
      </w:r>
      <w:r w:rsidR="00A3502D">
        <w:t>ProSuite</w:t>
      </w:r>
      <w:r w:rsidR="0057449B">
        <w:t xml:space="preserve"> </w:t>
      </w:r>
      <w:r w:rsidR="003070CD">
        <w:t>- c</w:t>
      </w:r>
      <w:r w:rsidR="00A3502D">
        <w:t xml:space="preserve">hoose the </w:t>
      </w:r>
      <w:r w:rsidR="0010310F">
        <w:t>one</w:t>
      </w:r>
      <w:r w:rsidR="00FF4ECE">
        <w:t xml:space="preserve"> </w:t>
      </w:r>
      <w:r w:rsidR="00A3502D">
        <w:t>that works best for your firm</w:t>
      </w:r>
      <w:r w:rsidR="00FF4ECE">
        <w:t>.</w:t>
      </w:r>
    </w:p>
    <w:p w:rsidR="002B430A" w:rsidRDefault="00E20616" w:rsidP="0010310F">
      <w:pPr>
        <w:jc w:val="center"/>
        <w:rPr>
          <w:b/>
        </w:rPr>
      </w:pPr>
      <w:r>
        <w:rPr>
          <w:b/>
        </w:rPr>
        <w:t xml:space="preserve">PURCHASE FILE </w:t>
      </w:r>
      <w:r w:rsidRPr="00507EAA">
        <w:rPr>
          <w:b/>
        </w:rPr>
        <w:t>WORKFLOW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98"/>
        <w:gridCol w:w="4878"/>
      </w:tblGrid>
      <w:tr w:rsidR="0010310F" w:rsidTr="00BD19B0">
        <w:tc>
          <w:tcPr>
            <w:tcW w:w="9576" w:type="dxa"/>
            <w:gridSpan w:val="2"/>
          </w:tcPr>
          <w:p w:rsidR="0010310F" w:rsidRPr="0010310F" w:rsidRDefault="0010310F" w:rsidP="00F4075E">
            <w:pPr>
              <w:pStyle w:val="ListParagraph"/>
              <w:numPr>
                <w:ilvl w:val="0"/>
                <w:numId w:val="18"/>
              </w:numPr>
            </w:pPr>
            <w:r>
              <w:t>Add all Buyers to the Parties screen.</w:t>
            </w:r>
          </w:p>
        </w:tc>
      </w:tr>
      <w:tr w:rsidR="0010310F" w:rsidTr="00BD19B0">
        <w:tc>
          <w:tcPr>
            <w:tcW w:w="9576" w:type="dxa"/>
            <w:gridSpan w:val="2"/>
          </w:tcPr>
          <w:p w:rsidR="0010310F" w:rsidRPr="00F4075E" w:rsidRDefault="0010310F" w:rsidP="00F4075E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t xml:space="preserve">Complete the Property&gt;Legal and Land Value tabs with the required information to allow the regular PTT to calculate. </w:t>
            </w:r>
          </w:p>
        </w:tc>
      </w:tr>
      <w:tr w:rsidR="0010310F" w:rsidTr="00BD19B0">
        <w:tc>
          <w:tcPr>
            <w:tcW w:w="9576" w:type="dxa"/>
            <w:gridSpan w:val="2"/>
          </w:tcPr>
          <w:p w:rsidR="0010310F" w:rsidRPr="00F4075E" w:rsidRDefault="0010310F" w:rsidP="00F4075E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t xml:space="preserve">Complete the Additional Property Transfer Tax Return. </w:t>
            </w:r>
            <w:r w:rsidR="00F4075E">
              <w:br/>
            </w:r>
            <w:r>
              <w:t xml:space="preserve">This is a manual form prepared by the Ministry of Finance and can be obtained </w:t>
            </w:r>
            <w:hyperlink r:id="rId9" w:history="1">
              <w:r w:rsidRPr="00A27ACD">
                <w:rPr>
                  <w:rStyle w:val="Hyperlink"/>
                </w:rPr>
                <w:t>here</w:t>
              </w:r>
            </w:hyperlink>
            <w:r>
              <w:t xml:space="preserve">. For convenience, this form can also be obtained from the ProSuite&gt;Generate Documents screen (L-065 Additional Property Transfer Tax Return – Blank) however it will not be populated due to the nature of the form. Follow the instructions provided in the </w:t>
            </w:r>
            <w:hyperlink r:id="rId10" w:history="1">
              <w:r w:rsidRPr="0057449B">
                <w:rPr>
                  <w:rStyle w:val="Hyperlink"/>
                </w:rPr>
                <w:t>Tax Information Sheet 2016-006</w:t>
              </w:r>
            </w:hyperlink>
            <w:r>
              <w:t xml:space="preserve"> to complete and submit the form.</w:t>
            </w:r>
            <w:r w:rsidR="00F4075E">
              <w:br/>
            </w:r>
            <w:r>
              <w:br/>
            </w:r>
            <w:r w:rsidRPr="00F4075E">
              <w:rPr>
                <w:u w:val="single"/>
              </w:rPr>
              <w:t>Note 1</w:t>
            </w:r>
            <w:r>
              <w:t>:  Unlike the regular Property Transfer Tax Return, this form does not automatically calculate the tax amounts. These must be calculated manually.</w:t>
            </w:r>
            <w:r>
              <w:br/>
            </w:r>
            <w:r w:rsidRPr="00F4075E">
              <w:rPr>
                <w:u w:val="single"/>
              </w:rPr>
              <w:t>Note 2</w:t>
            </w:r>
            <w:r>
              <w:t xml:space="preserve">:  There are no schedules provided for additional buyers, sellers or properties. There is a checkbox at the top of the form </w:t>
            </w:r>
            <w:r w:rsidRPr="00F4075E">
              <w:rPr>
                <w:i/>
              </w:rPr>
              <w:t>If you require more space and have attached pages, check here</w:t>
            </w:r>
            <w:r>
              <w:t>. Free form schedules are to be added as needed.</w:t>
            </w:r>
          </w:p>
        </w:tc>
      </w:tr>
      <w:tr w:rsidR="0010310F" w:rsidTr="00BD19B0">
        <w:trPr>
          <w:cantSplit/>
        </w:trPr>
        <w:tc>
          <w:tcPr>
            <w:tcW w:w="4698" w:type="dxa"/>
          </w:tcPr>
          <w:p w:rsidR="0010310F" w:rsidRDefault="0010310F" w:rsidP="00F4075E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 xml:space="preserve">Once the additional property transfer tax payable is determined in step 3 it </w:t>
            </w:r>
            <w:r w:rsidR="00BD19B0">
              <w:t>can</w:t>
            </w:r>
            <w:r w:rsidR="005260FB">
              <w:t xml:space="preserve"> be added to the N</w:t>
            </w:r>
            <w:r>
              <w:t xml:space="preserve">et PTT </w:t>
            </w:r>
          </w:p>
          <w:p w:rsidR="0010310F" w:rsidRDefault="0010310F" w:rsidP="00BD19B0">
            <w:pPr>
              <w:pStyle w:val="ListParagraph"/>
              <w:numPr>
                <w:ilvl w:val="1"/>
                <w:numId w:val="19"/>
              </w:numPr>
            </w:pPr>
            <w:r>
              <w:t>On the Land Value tab edit the Net PTT fie</w:t>
            </w:r>
            <w:r w:rsidR="005260FB">
              <w:t>ld to reflect the total of the N</w:t>
            </w:r>
            <w:r>
              <w:t>et PTT plus the Additional PTT</w:t>
            </w:r>
          </w:p>
          <w:p w:rsidR="0010310F" w:rsidRDefault="0010310F" w:rsidP="00BD19B0">
            <w:pPr>
              <w:pStyle w:val="ListParagraph"/>
              <w:numPr>
                <w:ilvl w:val="1"/>
                <w:numId w:val="19"/>
              </w:numPr>
            </w:pPr>
            <w:r>
              <w:t xml:space="preserve">The field will </w:t>
            </w:r>
            <w:r w:rsidR="000F0BD8">
              <w:t>be</w:t>
            </w:r>
            <w:r>
              <w:t xml:space="preserve"> highlighted green to indicate that the value was manually overridden</w:t>
            </w:r>
          </w:p>
          <w:p w:rsidR="0010310F" w:rsidRDefault="005260FB" w:rsidP="002B430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814812</wp:posOffset>
                      </wp:positionH>
                      <wp:positionV relativeFrom="paragraph">
                        <wp:posOffset>1534908</wp:posOffset>
                      </wp:positionV>
                      <wp:extent cx="588475" cy="76955"/>
                      <wp:effectExtent l="0" t="0" r="21590" b="1841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8475" cy="7695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774635" id="Rounded Rectangle 2" o:spid="_x0000_s1026" style="position:absolute;margin-left:64.15pt;margin-top:120.85pt;width:46.35pt;height: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" filled="f" strokecolor="red" strokeweight="1pt"/>
                  </w:pict>
                </mc:Fallback>
              </mc:AlternateContent>
            </w:r>
            <w:r w:rsidR="00BD19B0">
              <w:rPr>
                <w:noProof/>
              </w:rPr>
              <w:tab/>
            </w:r>
            <w:r w:rsidR="0087718E">
              <w:rPr>
                <w:noProof/>
              </w:rPr>
              <w:drawing>
                <wp:inline distT="0" distB="0" distL="0" distR="0" wp14:anchorId="3B450224" wp14:editId="1CAAC3B4">
                  <wp:extent cx="1914808" cy="1764692"/>
                  <wp:effectExtent l="0" t="0" r="952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892" cy="176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19B0" w:rsidRDefault="00BD19B0" w:rsidP="00BD19B0">
            <w:pPr>
              <w:pStyle w:val="ListParagraph"/>
              <w:numPr>
                <w:ilvl w:val="1"/>
                <w:numId w:val="19"/>
              </w:numPr>
            </w:pPr>
            <w:r>
              <w:t>One entry will appear on the Buyer’s Statement of Adjustments and In/Out Trust Rec for PTT</w:t>
            </w:r>
          </w:p>
          <w:p w:rsidR="00BD19B0" w:rsidRDefault="00BD19B0" w:rsidP="002B430A">
            <w:pPr>
              <w:rPr>
                <w:b/>
              </w:rPr>
            </w:pPr>
          </w:p>
        </w:tc>
        <w:tc>
          <w:tcPr>
            <w:tcW w:w="4878" w:type="dxa"/>
          </w:tcPr>
          <w:p w:rsidR="0010310F" w:rsidRDefault="0010310F" w:rsidP="00BD19B0">
            <w:pPr>
              <w:pStyle w:val="ListParagraph"/>
              <w:numPr>
                <w:ilvl w:val="0"/>
                <w:numId w:val="20"/>
              </w:numPr>
            </w:pPr>
            <w:r>
              <w:t xml:space="preserve">Once the additional property transfer tax payable is determined in step 3 it </w:t>
            </w:r>
            <w:r w:rsidR="00BD19B0">
              <w:t>can</w:t>
            </w:r>
            <w:r>
              <w:t xml:space="preserve"> be entered on the Buyer’s SOA as follows</w:t>
            </w:r>
          </w:p>
          <w:p w:rsidR="0010310F" w:rsidRDefault="0010310F" w:rsidP="00BD19B0">
            <w:pPr>
              <w:pStyle w:val="ListParagraph"/>
              <w:numPr>
                <w:ilvl w:val="1"/>
                <w:numId w:val="20"/>
              </w:numPr>
            </w:pPr>
            <w:r>
              <w:t>On the Buyer’s Other Adjustments tab add a new Standard Adjustment</w:t>
            </w:r>
          </w:p>
          <w:p w:rsidR="0010310F" w:rsidRDefault="0010310F" w:rsidP="00BD19B0">
            <w:pPr>
              <w:pStyle w:val="ListParagraph"/>
              <w:numPr>
                <w:ilvl w:val="1"/>
                <w:numId w:val="20"/>
              </w:numPr>
            </w:pPr>
            <w:r>
              <w:t>Enter the total additional property transfer tax payable in the Adjustment field</w:t>
            </w:r>
          </w:p>
          <w:p w:rsidR="0010310F" w:rsidRDefault="0010310F" w:rsidP="00BD19B0">
            <w:pPr>
              <w:pStyle w:val="ListParagraph"/>
              <w:numPr>
                <w:ilvl w:val="1"/>
                <w:numId w:val="20"/>
              </w:numPr>
            </w:pPr>
            <w:r>
              <w:t>Ensure Applied To = Buyer (In/Out) and As = Debit from Buyer</w:t>
            </w:r>
          </w:p>
          <w:p w:rsidR="0010310F" w:rsidRDefault="0010310F" w:rsidP="0010310F">
            <w:r>
              <w:rPr>
                <w:noProof/>
              </w:rPr>
              <w:tab/>
            </w:r>
            <w:r w:rsidR="000F0BD8">
              <w:rPr>
                <w:noProof/>
              </w:rPr>
              <w:drawing>
                <wp:inline distT="0" distB="0" distL="0" distR="0" wp14:anchorId="349F948F" wp14:editId="212CEF4F">
                  <wp:extent cx="2428284" cy="13980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449" cy="139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310F" w:rsidRDefault="0010310F" w:rsidP="00BD19B0">
            <w:pPr>
              <w:pStyle w:val="ListParagraph"/>
              <w:numPr>
                <w:ilvl w:val="1"/>
                <w:numId w:val="20"/>
              </w:numPr>
            </w:pPr>
            <w:r>
              <w:rPr>
                <w:noProof/>
              </w:rPr>
              <w:t>Two entries will appear on the Buyer’s Statement of Adjustments and In/Out Trust Rec for PTT</w:t>
            </w:r>
          </w:p>
          <w:p w:rsidR="0010310F" w:rsidRDefault="0010310F" w:rsidP="002B430A">
            <w:pPr>
              <w:rPr>
                <w:b/>
              </w:rPr>
            </w:pPr>
          </w:p>
        </w:tc>
      </w:tr>
      <w:tr w:rsidR="0010310F" w:rsidTr="00BD19B0">
        <w:tc>
          <w:tcPr>
            <w:tcW w:w="9576" w:type="dxa"/>
            <w:gridSpan w:val="2"/>
          </w:tcPr>
          <w:p w:rsidR="0010310F" w:rsidRDefault="0010310F" w:rsidP="00BD19B0">
            <w:pPr>
              <w:pStyle w:val="ListParagraph"/>
              <w:numPr>
                <w:ilvl w:val="0"/>
                <w:numId w:val="20"/>
              </w:numPr>
            </w:pPr>
            <w:r>
              <w:t>Generate the Property Transfer Tax Return V27 ensuring that all required fields are completed.</w:t>
            </w:r>
          </w:p>
        </w:tc>
      </w:tr>
      <w:tr w:rsidR="0010310F" w:rsidTr="00BD19B0">
        <w:tc>
          <w:tcPr>
            <w:tcW w:w="9576" w:type="dxa"/>
            <w:gridSpan w:val="2"/>
          </w:tcPr>
          <w:p w:rsidR="0010310F" w:rsidRDefault="007D0E2B" w:rsidP="007D0E2B">
            <w:pPr>
              <w:pStyle w:val="ListParagraph"/>
              <w:numPr>
                <w:ilvl w:val="0"/>
                <w:numId w:val="20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3004457</wp:posOffset>
                      </wp:positionH>
                      <wp:positionV relativeFrom="paragraph">
                        <wp:posOffset>982820</wp:posOffset>
                      </wp:positionV>
                      <wp:extent cx="2612572" cy="316523"/>
                      <wp:effectExtent l="0" t="0" r="16510" b="2667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2" cy="316523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820E0E" id="Rounded Rectangle 6" o:spid="_x0000_s1026" style="position:absolute;margin-left:236.55pt;margin-top:77.4pt;width:205.7pt;height:2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" filled="f" strokecolor="red" strokeweight="1pt"/>
                  </w:pict>
                </mc:Fallback>
              </mc:AlternateContent>
            </w:r>
            <w:r w:rsidR="0010310F">
              <w:t xml:space="preserve">Complete the Additional </w:t>
            </w:r>
            <w:r>
              <w:t>Tax Payable</w:t>
            </w:r>
            <w:r w:rsidR="005260FB">
              <w:t xml:space="preserve"> field in Section I 6 b</w:t>
            </w:r>
            <w:r w:rsidR="0010310F">
              <w:t xml:space="preserve"> with the total amount of the additional property transfer tax and tab off the field</w:t>
            </w:r>
            <w:r w:rsidR="005260FB">
              <w:t>.</w:t>
            </w:r>
            <w:r w:rsidR="0010310F">
              <w:t xml:space="preserve"> </w:t>
            </w:r>
            <w:r w:rsidR="005260FB">
              <w:t>The form will</w:t>
            </w:r>
            <w:r w:rsidR="0010310F">
              <w:t xml:space="preserve"> </w:t>
            </w:r>
            <w:r w:rsidR="005260FB">
              <w:t xml:space="preserve">automatically </w:t>
            </w:r>
            <w:r w:rsidR="0010310F">
              <w:t xml:space="preserve">recalculate the total Property Transfer Tax payable. 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5B1D3913" wp14:editId="67753F86">
                  <wp:extent cx="5298234" cy="1497204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713" cy="149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430A" w:rsidRDefault="002B430A" w:rsidP="0010310F"/>
    <w:sectPr w:rsidR="002B430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A45" w:rsidRDefault="00646A45" w:rsidP="00320081">
      <w:pPr>
        <w:spacing w:after="0" w:line="240" w:lineRule="auto"/>
      </w:pPr>
      <w:r>
        <w:separator/>
      </w:r>
    </w:p>
  </w:endnote>
  <w:endnote w:type="continuationSeparator" w:id="0">
    <w:p w:rsidR="00646A45" w:rsidRDefault="00646A45" w:rsidP="0032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81" w:rsidRPr="00320081" w:rsidRDefault="0087718E">
    <w:pPr>
      <w:pStyle w:val="Footer"/>
      <w:rPr>
        <w:sz w:val="18"/>
        <w:szCs w:val="18"/>
      </w:rPr>
    </w:pPr>
    <w:r>
      <w:rPr>
        <w:sz w:val="18"/>
        <w:szCs w:val="18"/>
      </w:rPr>
      <w:t>Prepared July 28,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A45" w:rsidRDefault="00646A45" w:rsidP="00320081">
      <w:pPr>
        <w:spacing w:after="0" w:line="240" w:lineRule="auto"/>
      </w:pPr>
      <w:r>
        <w:separator/>
      </w:r>
    </w:p>
  </w:footnote>
  <w:footnote w:type="continuationSeparator" w:id="0">
    <w:p w:rsidR="00646A45" w:rsidRDefault="00646A45" w:rsidP="00320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81" w:rsidRDefault="007C0278">
    <w:pPr>
      <w:pStyle w:val="Header"/>
      <w:rPr>
        <w:noProof/>
      </w:rPr>
    </w:pPr>
    <w:r>
      <w:rPr>
        <w:noProof/>
      </w:rPr>
      <w:drawing>
        <wp:inline distT="0" distB="0" distL="0" distR="0" wp14:anchorId="4BA4D32D" wp14:editId="0D464A94">
          <wp:extent cx="2297151" cy="457200"/>
          <wp:effectExtent l="0" t="0" r="8255" b="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roces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66" cy="458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4ECE">
      <w:rPr>
        <w:noProof/>
      </w:rPr>
      <w:tab/>
    </w:r>
    <w:r w:rsidR="00FF4ECE">
      <w:rPr>
        <w:noProof/>
      </w:rPr>
      <w:tab/>
    </w:r>
    <w:r w:rsidR="00FF4ECE">
      <w:rPr>
        <w:noProof/>
      </w:rPr>
      <w:drawing>
        <wp:inline distT="0" distB="0" distL="0" distR="0" wp14:anchorId="5CA7D273" wp14:editId="2D4178F2">
          <wp:extent cx="1126994" cy="2763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Suit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411" cy="276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0081" w:rsidRDefault="00320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DFD"/>
    <w:multiLevelType w:val="hybridMultilevel"/>
    <w:tmpl w:val="42A896AA"/>
    <w:lvl w:ilvl="0" w:tplc="E9C01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1AB7"/>
    <w:multiLevelType w:val="hybridMultilevel"/>
    <w:tmpl w:val="149C1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378FC"/>
    <w:multiLevelType w:val="hybridMultilevel"/>
    <w:tmpl w:val="4476BC08"/>
    <w:lvl w:ilvl="0" w:tplc="27741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325F"/>
    <w:multiLevelType w:val="hybridMultilevel"/>
    <w:tmpl w:val="257A18E0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15286205"/>
    <w:multiLevelType w:val="hybridMultilevel"/>
    <w:tmpl w:val="45367DE2"/>
    <w:lvl w:ilvl="0" w:tplc="E9C01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34F28"/>
    <w:multiLevelType w:val="hybridMultilevel"/>
    <w:tmpl w:val="0742EDE8"/>
    <w:lvl w:ilvl="0" w:tplc="E9C01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A0959"/>
    <w:multiLevelType w:val="hybridMultilevel"/>
    <w:tmpl w:val="1A1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97909"/>
    <w:multiLevelType w:val="hybridMultilevel"/>
    <w:tmpl w:val="4324300A"/>
    <w:lvl w:ilvl="0" w:tplc="84984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30FEE"/>
    <w:multiLevelType w:val="hybridMultilevel"/>
    <w:tmpl w:val="31C0FBA8"/>
    <w:lvl w:ilvl="0" w:tplc="012C3B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1569B"/>
    <w:multiLevelType w:val="hybridMultilevel"/>
    <w:tmpl w:val="5C4EA93E"/>
    <w:lvl w:ilvl="0" w:tplc="7DB4D992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9622F"/>
    <w:multiLevelType w:val="hybridMultilevel"/>
    <w:tmpl w:val="D100628C"/>
    <w:lvl w:ilvl="0" w:tplc="F24A8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91B9E"/>
    <w:multiLevelType w:val="hybridMultilevel"/>
    <w:tmpl w:val="F2927ABE"/>
    <w:lvl w:ilvl="0" w:tplc="38822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80D1F"/>
    <w:multiLevelType w:val="hybridMultilevel"/>
    <w:tmpl w:val="08A88338"/>
    <w:lvl w:ilvl="0" w:tplc="D71626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63B4A"/>
    <w:multiLevelType w:val="hybridMultilevel"/>
    <w:tmpl w:val="A83C9318"/>
    <w:lvl w:ilvl="0" w:tplc="47EC7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5142E"/>
    <w:multiLevelType w:val="hybridMultilevel"/>
    <w:tmpl w:val="4C0610AA"/>
    <w:lvl w:ilvl="0" w:tplc="B68EED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34EEA"/>
    <w:multiLevelType w:val="hybridMultilevel"/>
    <w:tmpl w:val="4184E558"/>
    <w:lvl w:ilvl="0" w:tplc="E9C01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D6C8C"/>
    <w:multiLevelType w:val="hybridMultilevel"/>
    <w:tmpl w:val="0EB4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C1D59"/>
    <w:multiLevelType w:val="hybridMultilevel"/>
    <w:tmpl w:val="BCE0626A"/>
    <w:lvl w:ilvl="0" w:tplc="E9C01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E1C26"/>
    <w:multiLevelType w:val="hybridMultilevel"/>
    <w:tmpl w:val="F2927ABE"/>
    <w:lvl w:ilvl="0" w:tplc="38822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41E18"/>
    <w:multiLevelType w:val="hybridMultilevel"/>
    <w:tmpl w:val="88B4FE62"/>
    <w:lvl w:ilvl="0" w:tplc="E9C01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13"/>
  </w:num>
  <w:num w:numId="9">
    <w:abstractNumId w:val="2"/>
  </w:num>
  <w:num w:numId="10">
    <w:abstractNumId w:val="17"/>
  </w:num>
  <w:num w:numId="11">
    <w:abstractNumId w:val="16"/>
  </w:num>
  <w:num w:numId="12">
    <w:abstractNumId w:val="5"/>
  </w:num>
  <w:num w:numId="13">
    <w:abstractNumId w:val="4"/>
  </w:num>
  <w:num w:numId="14">
    <w:abstractNumId w:val="0"/>
  </w:num>
  <w:num w:numId="15">
    <w:abstractNumId w:val="15"/>
  </w:num>
  <w:num w:numId="16">
    <w:abstractNumId w:val="19"/>
  </w:num>
  <w:num w:numId="17">
    <w:abstractNumId w:val="11"/>
  </w:num>
  <w:num w:numId="18">
    <w:abstractNumId w:val="14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69"/>
    <w:rsid w:val="00007389"/>
    <w:rsid w:val="00046437"/>
    <w:rsid w:val="0006262A"/>
    <w:rsid w:val="000730EC"/>
    <w:rsid w:val="00086D6C"/>
    <w:rsid w:val="000F0BD8"/>
    <w:rsid w:val="0010310F"/>
    <w:rsid w:val="00163C90"/>
    <w:rsid w:val="00184B60"/>
    <w:rsid w:val="001B06CD"/>
    <w:rsid w:val="001C522B"/>
    <w:rsid w:val="001D6AC8"/>
    <w:rsid w:val="001F4B6B"/>
    <w:rsid w:val="00200DBD"/>
    <w:rsid w:val="002020DA"/>
    <w:rsid w:val="00215594"/>
    <w:rsid w:val="00262C2D"/>
    <w:rsid w:val="002B155E"/>
    <w:rsid w:val="002B430A"/>
    <w:rsid w:val="002B78E7"/>
    <w:rsid w:val="002E1FA0"/>
    <w:rsid w:val="003070CD"/>
    <w:rsid w:val="00315ECC"/>
    <w:rsid w:val="00320081"/>
    <w:rsid w:val="0033508E"/>
    <w:rsid w:val="00367E85"/>
    <w:rsid w:val="003E0305"/>
    <w:rsid w:val="00436EFE"/>
    <w:rsid w:val="004E5855"/>
    <w:rsid w:val="004E5D16"/>
    <w:rsid w:val="0050428C"/>
    <w:rsid w:val="005050C8"/>
    <w:rsid w:val="00507EAA"/>
    <w:rsid w:val="005260FB"/>
    <w:rsid w:val="00552D05"/>
    <w:rsid w:val="005716DC"/>
    <w:rsid w:val="00573FC6"/>
    <w:rsid w:val="0057449B"/>
    <w:rsid w:val="005862B0"/>
    <w:rsid w:val="005866D7"/>
    <w:rsid w:val="005C759A"/>
    <w:rsid w:val="005F5F1B"/>
    <w:rsid w:val="00611EBE"/>
    <w:rsid w:val="00613BF5"/>
    <w:rsid w:val="00624ECB"/>
    <w:rsid w:val="00625C7D"/>
    <w:rsid w:val="00636650"/>
    <w:rsid w:val="006415CC"/>
    <w:rsid w:val="00646A45"/>
    <w:rsid w:val="00715695"/>
    <w:rsid w:val="00732480"/>
    <w:rsid w:val="00732B5D"/>
    <w:rsid w:val="007334B2"/>
    <w:rsid w:val="0077084D"/>
    <w:rsid w:val="007972C0"/>
    <w:rsid w:val="007C0278"/>
    <w:rsid w:val="007C3C86"/>
    <w:rsid w:val="007D0E2B"/>
    <w:rsid w:val="00806A9D"/>
    <w:rsid w:val="008572CB"/>
    <w:rsid w:val="0087718E"/>
    <w:rsid w:val="008837A8"/>
    <w:rsid w:val="008C3C92"/>
    <w:rsid w:val="008D1CDA"/>
    <w:rsid w:val="008D233D"/>
    <w:rsid w:val="00994369"/>
    <w:rsid w:val="009C12EF"/>
    <w:rsid w:val="009C7AC6"/>
    <w:rsid w:val="009F7B93"/>
    <w:rsid w:val="00A27ACD"/>
    <w:rsid w:val="00A3502D"/>
    <w:rsid w:val="00AB6549"/>
    <w:rsid w:val="00BD0224"/>
    <w:rsid w:val="00BD19B0"/>
    <w:rsid w:val="00C7567F"/>
    <w:rsid w:val="00C87A47"/>
    <w:rsid w:val="00C96E2D"/>
    <w:rsid w:val="00CC5740"/>
    <w:rsid w:val="00D636F4"/>
    <w:rsid w:val="00DB2FD8"/>
    <w:rsid w:val="00DC1158"/>
    <w:rsid w:val="00DD10AD"/>
    <w:rsid w:val="00E20616"/>
    <w:rsid w:val="00EE5C73"/>
    <w:rsid w:val="00F07A16"/>
    <w:rsid w:val="00F4075E"/>
    <w:rsid w:val="00FD399F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A76A3B5-984C-4B7A-9FF4-F6D6F01D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D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0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81"/>
  </w:style>
  <w:style w:type="paragraph" w:styleId="Footer">
    <w:name w:val="footer"/>
    <w:basedOn w:val="Normal"/>
    <w:link w:val="FooterChar"/>
    <w:uiPriority w:val="99"/>
    <w:unhideWhenUsed/>
    <w:rsid w:val="00320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81"/>
  </w:style>
  <w:style w:type="character" w:styleId="Hyperlink">
    <w:name w:val="Hyperlink"/>
    <w:basedOn w:val="DefaultParagraphFont"/>
    <w:uiPriority w:val="99"/>
    <w:unhideWhenUsed/>
    <w:rsid w:val="005744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A4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0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sa.ca/news/ministry-finance-announces-updated-property-transfer-tax-form-version-27-effect-august-2-2016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2.gov.bc.ca/assets/gov/taxes/property-taxes/property-transfer-tax/forms-publications/is-006-additional-property-transfer-tax-foreign-entities-vancouver.pdf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2.gov.bc.ca/assets/gov/taxes/property-taxes/property-transfer-tax/forms-publications/is-006-additional-property-transfer-tax-foreign-entities-vancouv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gov.bc.ca/assets/gov/taxes/property-taxes/property-transfer-tax/forms-publications/fin-532-additional-property-transfer-tax-return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Glatiotis</dc:creator>
  <cp:lastModifiedBy>Nicole Punnett</cp:lastModifiedBy>
  <cp:revision>2</cp:revision>
  <dcterms:created xsi:type="dcterms:W3CDTF">2016-08-02T15:48:00Z</dcterms:created>
  <dcterms:modified xsi:type="dcterms:W3CDTF">2016-08-02T15:48:00Z</dcterms:modified>
</cp:coreProperties>
</file>